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40658A5E" w:rsidR="00BA2143" w:rsidRDefault="009C65D0" w:rsidP="00C949BB">
      <w:pPr>
        <w:jc w:val="center"/>
        <w:rPr>
          <w:b/>
          <w:bCs/>
        </w:rPr>
      </w:pPr>
      <w:r>
        <w:rPr>
          <w:b/>
          <w:bCs/>
        </w:rPr>
        <w:t xml:space="preserve">NANOBİYOTEKNOLOJİ LABORATUVARI </w:t>
      </w:r>
      <w:r w:rsidR="00BB56EC">
        <w:rPr>
          <w:b/>
          <w:bCs/>
        </w:rPr>
        <w:t>PEPTİT SENTEZİ</w:t>
      </w:r>
      <w:r w:rsidR="00BC4A84">
        <w:rPr>
          <w:b/>
          <w:bCs/>
        </w:rPr>
        <w:t xml:space="preserve"> </w:t>
      </w:r>
      <w:r>
        <w:rPr>
          <w:b/>
          <w:bCs/>
        </w:rPr>
        <w:t xml:space="preserve">CİHAZI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021D1D6E" w:rsidR="00C949BB" w:rsidRPr="00540B5F" w:rsidRDefault="00C86E28" w:rsidP="00BB56EC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BB56EC">
              <w:rPr>
                <w:rFonts w:cstheme="minorHAnsi"/>
                <w:sz w:val="20"/>
                <w:szCs w:val="20"/>
              </w:rPr>
              <w:t>Ürün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E12ADE">
              <w:rPr>
                <w:rFonts w:cstheme="minorHAnsi"/>
                <w:sz w:val="20"/>
                <w:szCs w:val="20"/>
              </w:rPr>
              <w:t xml:space="preserve">         </w:t>
            </w:r>
            <w:r w:rsidR="00203D47">
              <w:rPr>
                <w:rFonts w:cstheme="minorHAnsi"/>
                <w:sz w:val="20"/>
                <w:szCs w:val="20"/>
              </w:rPr>
              <w:t xml:space="preserve">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BB56EC">
              <w:rPr>
                <w:rFonts w:cstheme="minorHAnsi"/>
                <w:sz w:val="20"/>
                <w:szCs w:val="20"/>
              </w:rPr>
              <w:t>Saflaştırılmış ürün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="00BB56EC">
              <w:rPr>
                <w:rFonts w:cstheme="minorHAnsi"/>
                <w:sz w:val="20"/>
                <w:szCs w:val="20"/>
              </w:rPr>
              <w:t xml:space="preserve">        </w:t>
            </w:r>
            <w:r w:rsidR="00E12ADE">
              <w:rPr>
                <w:rFonts w:cstheme="minorHAnsi"/>
                <w:sz w:val="20"/>
                <w:szCs w:val="20"/>
              </w:rPr>
              <w:t xml:space="preserve">                 </w:t>
            </w:r>
            <w:r w:rsidR="00BB56EC">
              <w:rPr>
                <w:rFonts w:cstheme="minorHAnsi"/>
                <w:sz w:val="20"/>
                <w:szCs w:val="20"/>
              </w:rPr>
              <w:t xml:space="preserve"> </w:t>
            </w:r>
            <w:r w:rsidR="00BB56E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6EC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B56EC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BB56EC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BB56E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BB56EC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BB56EC">
              <w:rPr>
                <w:rFonts w:cstheme="minorHAnsi"/>
                <w:sz w:val="20"/>
                <w:szCs w:val="20"/>
              </w:rPr>
              <w:t>Saflaştırılmış ürün</w:t>
            </w:r>
            <w:r w:rsidR="00BB56EC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BB56EC">
              <w:rPr>
                <w:rFonts w:cstheme="minorHAnsi"/>
                <w:sz w:val="20"/>
                <w:szCs w:val="20"/>
              </w:rPr>
              <w:t>ve analiz raporu</w:t>
            </w:r>
            <w:r w:rsidR="00BB56EC" w:rsidRPr="00BA214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</w:r>
            <w:r w:rsidR="005C507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p w14:paraId="6AA39CFD" w14:textId="77777777" w:rsidR="00751DCC" w:rsidRDefault="00751DCC" w:rsidP="00540B5F"/>
    <w:p w14:paraId="383E1F8E" w14:textId="0F516787" w:rsidR="00AC2222" w:rsidRDefault="00AC2222" w:rsidP="00540B5F"/>
    <w:p w14:paraId="40FD5CBE" w14:textId="3E1CBB40" w:rsidR="009C65D0" w:rsidRDefault="009C65D0" w:rsidP="00540B5F"/>
    <w:p w14:paraId="6F486D46" w14:textId="066F3B98" w:rsidR="009C65D0" w:rsidRDefault="009C65D0" w:rsidP="00540B5F"/>
    <w:p w14:paraId="744DDA08" w14:textId="21B090CF" w:rsidR="009C65D0" w:rsidRDefault="009C65D0" w:rsidP="00540B5F"/>
    <w:p w14:paraId="0DB00D53" w14:textId="4906BB4C" w:rsidR="009C65D0" w:rsidRDefault="009C65D0" w:rsidP="00540B5F"/>
    <w:p w14:paraId="224C1E70" w14:textId="673BCD15" w:rsidR="009C65D0" w:rsidRDefault="009C65D0" w:rsidP="00540B5F"/>
    <w:p w14:paraId="7C37801B" w14:textId="7709C50B" w:rsidR="009C65D0" w:rsidRDefault="009C65D0" w:rsidP="00540B5F"/>
    <w:p w14:paraId="4CD926F0" w14:textId="34A4F632" w:rsidR="009C65D0" w:rsidRDefault="009C65D0" w:rsidP="00540B5F"/>
    <w:p w14:paraId="3785B195" w14:textId="7B8FD970" w:rsidR="005C5073" w:rsidRDefault="005C5073" w:rsidP="00540B5F"/>
    <w:p w14:paraId="5895883C" w14:textId="77777777" w:rsidR="005C5073" w:rsidRDefault="005C5073" w:rsidP="00540B5F"/>
    <w:p w14:paraId="5617F920" w14:textId="0A21B9E4" w:rsidR="009C65D0" w:rsidRDefault="009C65D0" w:rsidP="00540B5F"/>
    <w:p w14:paraId="7196F040" w14:textId="36B05CDE" w:rsidR="009C65D0" w:rsidRDefault="009C65D0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096"/>
        <w:gridCol w:w="2435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9C65D0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096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1DFB2044" w14:textId="77777777" w:rsidR="00B36686" w:rsidRDefault="00B36686" w:rsidP="00751DCC">
      <w:pPr>
        <w:jc w:val="center"/>
        <w:rPr>
          <w:b/>
          <w:bCs/>
        </w:rPr>
      </w:pPr>
    </w:p>
    <w:p w14:paraId="4C11FEB0" w14:textId="77777777" w:rsidR="005C5073" w:rsidRDefault="005C5073" w:rsidP="00751DCC">
      <w:pPr>
        <w:jc w:val="center"/>
        <w:rPr>
          <w:b/>
          <w:bCs/>
        </w:rPr>
      </w:pPr>
    </w:p>
    <w:p w14:paraId="3A7A7B61" w14:textId="69E68890" w:rsidR="00751DCC" w:rsidRPr="00751DCC" w:rsidRDefault="00751DCC" w:rsidP="00751DCC">
      <w:pPr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F30221F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9C65D0">
        <w:rPr>
          <w:b/>
          <w:bCs/>
        </w:rPr>
        <w:t xml:space="preserve">NANOBİYOTEKNOLOJİ LABORATUVARI </w:t>
      </w:r>
      <w:r w:rsidR="00C356F2">
        <w:rPr>
          <w:b/>
          <w:bCs/>
        </w:rPr>
        <w:t>PEPTİT SENTEZİ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3CBF" w14:paraId="2D804068" w14:textId="77777777" w:rsidTr="002B5834">
        <w:tc>
          <w:tcPr>
            <w:tcW w:w="9212" w:type="dxa"/>
          </w:tcPr>
          <w:p w14:paraId="6F125628" w14:textId="6D943B06" w:rsidR="00C356F2" w:rsidRPr="009C65D0" w:rsidRDefault="00BB56EC" w:rsidP="002B5834">
            <w:pPr>
              <w:rPr>
                <w:rFonts w:ascii="Calibri" w:hAnsi="Calibri" w:cs="Calibri"/>
                <w:b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Peptit sentezinin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6F47D08B" w14:textId="77777777" w:rsidR="009C65D0" w:rsidRDefault="009C65D0" w:rsidP="00C356F2">
            <w:pPr>
              <w:rPr>
                <w:b/>
                <w:bCs/>
                <w:sz w:val="20"/>
                <w:szCs w:val="20"/>
              </w:rPr>
            </w:pPr>
          </w:p>
          <w:p w14:paraId="1C2AB4F3" w14:textId="3E2D69FC" w:rsidR="00133CBF" w:rsidRDefault="00BB56EC" w:rsidP="00C35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Peptit sekans bilgisi</w:t>
            </w:r>
            <w:r w:rsidR="00C356F2">
              <w:rPr>
                <w:b/>
                <w:bCs/>
                <w:sz w:val="20"/>
                <w:szCs w:val="20"/>
              </w:rPr>
              <w:t xml:space="preserve"> (Tek harf kodlu amino asit sekansı)</w:t>
            </w:r>
          </w:p>
          <w:p w14:paraId="0B6DA6AA" w14:textId="430E7DBB" w:rsidR="00C356F2" w:rsidRDefault="00C356F2" w:rsidP="00C356F2">
            <w:pPr>
              <w:rPr>
                <w:b/>
                <w:bCs/>
                <w:sz w:val="20"/>
                <w:szCs w:val="20"/>
              </w:rPr>
            </w:pPr>
          </w:p>
          <w:p w14:paraId="07895CCD" w14:textId="6CCEBAE7" w:rsidR="00C356F2" w:rsidRDefault="00C356F2" w:rsidP="009C65D0">
            <w:pPr>
              <w:rPr>
                <w:b/>
                <w:bCs/>
              </w:rPr>
            </w:pPr>
          </w:p>
          <w:p w14:paraId="2C33A3A2" w14:textId="461AA71A" w:rsidR="00C356F2" w:rsidRDefault="00C356F2" w:rsidP="002B5834">
            <w:pPr>
              <w:jc w:val="center"/>
              <w:rPr>
                <w:b/>
                <w:bCs/>
              </w:rPr>
            </w:pP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988FE9" w:rsidR="00133CBF" w:rsidRPr="006D76F7" w:rsidRDefault="006D76F7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b/>
                <w:sz w:val="20"/>
                <w:szCs w:val="18"/>
                <w:lang w:eastAsia="en-US"/>
              </w:rPr>
            </w:pPr>
            <w:r w:rsidRPr="006D76F7"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 xml:space="preserve">Sentezlenmesi </w:t>
            </w:r>
            <w:r w:rsidR="00C356F2"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i</w:t>
            </w:r>
            <w:r w:rsidRPr="006D76F7"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stenilen miktar</w:t>
            </w:r>
          </w:p>
          <w:p w14:paraId="43EA0E8B" w14:textId="30D0FDFC" w:rsidR="006D76F7" w:rsidRPr="006D76F7" w:rsidRDefault="006D76F7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18"/>
                <w:lang w:eastAsia="en-US"/>
              </w:rPr>
            </w:pPr>
          </w:p>
          <w:p w14:paraId="5CAC87F5" w14:textId="3C634845" w:rsidR="006D76F7" w:rsidRPr="006D76F7" w:rsidRDefault="006D76F7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Cs w:val="14"/>
              </w:rPr>
            </w:r>
            <w:r w:rsidR="005C5073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9C65D0">
              <w:rPr>
                <w:rFonts w:asciiTheme="minorHAnsi" w:hAnsiTheme="minorHAnsi" w:cstheme="minorHAnsi"/>
                <w:sz w:val="20"/>
                <w:szCs w:val="20"/>
              </w:rPr>
              <w:t>0.005 mmol</w:t>
            </w: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Cs w:val="14"/>
              </w:rPr>
            </w:r>
            <w:r w:rsidR="005C5073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9C65D0">
              <w:rPr>
                <w:rFonts w:asciiTheme="minorHAnsi" w:hAnsiTheme="minorHAnsi" w:cstheme="minorHAnsi"/>
                <w:sz w:val="20"/>
                <w:szCs w:val="20"/>
              </w:rPr>
              <w:t xml:space="preserve">0.05 mmol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5C5073">
              <w:rPr>
                <w:rFonts w:ascii="MS Gothic" w:eastAsia="MS Gothic" w:hAnsi="MS Gothic" w:cs="Calibri"/>
                <w:szCs w:val="14"/>
              </w:rPr>
            </w:r>
            <w:r w:rsidR="005C5073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9C65D0">
              <w:rPr>
                <w:rFonts w:asciiTheme="minorHAnsi" w:hAnsiTheme="minorHAnsi" w:cstheme="minorHAnsi"/>
                <w:sz w:val="20"/>
                <w:szCs w:val="20"/>
              </w:rPr>
              <w:t>0.1 mmol</w:t>
            </w:r>
            <w:r w:rsidRPr="00BA2143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00334610" w14:textId="77777777" w:rsidR="00133CBF" w:rsidRPr="006D76F7" w:rsidRDefault="00133CBF" w:rsidP="00BB56E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  <w:sz w:val="20"/>
              </w:rPr>
            </w:pPr>
          </w:p>
        </w:tc>
      </w:tr>
      <w:tr w:rsidR="006D76F7" w14:paraId="12BEB3BA" w14:textId="77777777" w:rsidTr="002B5834">
        <w:tc>
          <w:tcPr>
            <w:tcW w:w="9212" w:type="dxa"/>
          </w:tcPr>
          <w:p w14:paraId="4035C1B6" w14:textId="0D769DBA" w:rsidR="00C356F2" w:rsidRDefault="00C356F2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b/>
                <w:sz w:val="20"/>
                <w:szCs w:val="18"/>
                <w:lang w:eastAsia="en-US"/>
              </w:rPr>
            </w:pPr>
            <w:r w:rsidRPr="00C356F2"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Peptit üzerinde istenilen modifikasyonlar bu alanda belirtilmelidir.  Aksi istenmedikçe C-terminal N</w:t>
            </w:r>
            <w:r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H2 olacak ş</w:t>
            </w:r>
            <w:r w:rsidRPr="00C356F2">
              <w:rPr>
                <w:rFonts w:ascii="Calibri" w:hAnsi="Calibri" w:cs="Calibri"/>
                <w:b/>
                <w:sz w:val="20"/>
                <w:szCs w:val="18"/>
                <w:lang w:eastAsia="en-US"/>
              </w:rPr>
              <w:t>ekilde sentezlenir.</w:t>
            </w:r>
          </w:p>
          <w:p w14:paraId="1A8D9B26" w14:textId="484A6937" w:rsidR="00C356F2" w:rsidRDefault="00C356F2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b/>
                <w:sz w:val="20"/>
                <w:szCs w:val="18"/>
                <w:lang w:eastAsia="en-US"/>
              </w:rPr>
            </w:pPr>
          </w:p>
          <w:p w14:paraId="69B346EF" w14:textId="77777777" w:rsidR="00C356F2" w:rsidRPr="00C356F2" w:rsidRDefault="00C356F2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b/>
                <w:sz w:val="20"/>
                <w:szCs w:val="18"/>
                <w:lang w:eastAsia="en-US"/>
              </w:rPr>
            </w:pPr>
          </w:p>
          <w:p w14:paraId="35E0F90A" w14:textId="7D050B82" w:rsidR="00C356F2" w:rsidRDefault="00C356F2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39B164BF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</w:t>
            </w:r>
            <w:r w:rsidR="00C356F2">
              <w:rPr>
                <w:b/>
                <w:bCs/>
                <w:sz w:val="20"/>
                <w:szCs w:val="20"/>
              </w:rPr>
              <w:t xml:space="preserve"> Diğer</w:t>
            </w:r>
            <w:r w:rsidRPr="00153D03">
              <w:rPr>
                <w:b/>
                <w:bCs/>
                <w:sz w:val="20"/>
                <w:szCs w:val="20"/>
              </w:rPr>
              <w:t xml:space="preserve"> Notlar:</w:t>
            </w:r>
          </w:p>
          <w:p w14:paraId="1ED2ADB4" w14:textId="1F465846" w:rsidR="00C356F2" w:rsidRDefault="00C356F2" w:rsidP="002B5834">
            <w:pPr>
              <w:rPr>
                <w:b/>
                <w:bCs/>
              </w:rPr>
            </w:pPr>
          </w:p>
          <w:p w14:paraId="6BF1BFC4" w14:textId="705F9B38" w:rsidR="00C356F2" w:rsidRDefault="00C356F2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p w14:paraId="06C0ACF4" w14:textId="2D5C11DF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1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</w:t>
      </w:r>
      <w:r w:rsidR="006D76F7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Teslim Opsiyonları</w:t>
      </w:r>
    </w:p>
    <w:p w14:paraId="28B7C031" w14:textId="2E96705B" w:rsidR="009952D3" w:rsidRPr="009952D3" w:rsidRDefault="006D76F7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Sentezlenecek olan peptit, saflaştırılmadan ya da HPLC ile saflaştırılarak, istenildiğinde analiz raporuyla birlikte teslim edilecektir.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72C19F81" w:rsidR="009952D3" w:rsidRPr="009952D3" w:rsidRDefault="004D0D9A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>
        <w:rPr>
          <w:rFonts w:cstheme="minorHAnsi"/>
          <w:b/>
          <w:sz w:val="20"/>
          <w:szCs w:val="20"/>
        </w:rPr>
        <w:t>Örneklerin</w:t>
      </w:r>
      <w:r w:rsidR="009952D3" w:rsidRPr="009952D3">
        <w:rPr>
          <w:rFonts w:cstheme="minorHAnsi"/>
          <w:b/>
          <w:sz w:val="20"/>
          <w:szCs w:val="20"/>
        </w:rPr>
        <w:t xml:space="preserve"> </w:t>
      </w:r>
      <w:r w:rsidR="006D76F7">
        <w:rPr>
          <w:rFonts w:cstheme="minorHAnsi"/>
          <w:b/>
          <w:sz w:val="20"/>
          <w:szCs w:val="20"/>
        </w:rPr>
        <w:t>Gönderiliş</w:t>
      </w:r>
      <w:r w:rsidR="009952D3" w:rsidRPr="009952D3">
        <w:rPr>
          <w:rFonts w:cstheme="minorHAnsi"/>
          <w:b/>
          <w:sz w:val="20"/>
          <w:szCs w:val="20"/>
        </w:rPr>
        <w:t xml:space="preserve"> Şekli ve Süresi</w:t>
      </w:r>
    </w:p>
    <w:p w14:paraId="3605108F" w14:textId="4DDF4514" w:rsidR="009952D3" w:rsidRPr="006D76F7" w:rsidRDefault="006D76F7" w:rsidP="006D76F7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Sentezlenen peptit sentez cihazından çıktıktan sonra uçucu solventler çökelti sonrası liyafilizatörde uçurulduktan sonra polipropilen deney tüpünde katı formda iletilir.  Bu işlem, istenilen miktara bağlı olarak 2-4 hafta sürmektedir.</w:t>
      </w:r>
    </w:p>
    <w:p w14:paraId="7DFA4ECA" w14:textId="77777777" w:rsidR="009C65D0" w:rsidRDefault="006D76F7" w:rsidP="009C65D0">
      <w:pPr>
        <w:pStyle w:val="ListeParagraf"/>
        <w:numPr>
          <w:ilvl w:val="0"/>
          <w:numId w:val="2"/>
        </w:numPr>
        <w:tabs>
          <w:tab w:val="num" w:pos="6031"/>
        </w:tabs>
        <w:spacing w:after="60"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C356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Eğer saflaştırılma isteniyorsa, sentezlenen peptit solventleri uçurulduktan sonra, farklı çözeltilerde çözünürlülüğü denenir. Sonrasında ilgili miktarlar HPLC yöntemiyle saflaştırılıp, </w:t>
      </w:r>
      <w:r w:rsidR="00C356F2">
        <w:rPr>
          <w:rFonts w:asciiTheme="minorHAnsi" w:eastAsia="Calibri" w:hAnsiTheme="minorHAnsi" w:cstheme="minorHAnsi"/>
          <w:sz w:val="20"/>
          <w:szCs w:val="20"/>
          <w:lang w:eastAsia="en-US"/>
        </w:rPr>
        <w:t>ürün</w:t>
      </w:r>
      <w:r w:rsidRPr="00C356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liyofilize edilir.  Sonrasında polipropilen deney tüpünde katı formda</w:t>
      </w:r>
      <w:r w:rsidR="00C356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elden ya da kargo yoluyla</w:t>
      </w:r>
      <w:r w:rsidRPr="00C356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iletilir.  Bu işlem, istenilen miktara bağlı olarak 4-6 hafta sürmektedir.</w:t>
      </w:r>
      <w:bookmarkEnd w:id="1"/>
    </w:p>
    <w:p w14:paraId="3EFAAD57" w14:textId="364BB7C4" w:rsidR="009C65D0" w:rsidRDefault="009C65D0" w:rsidP="009C65D0">
      <w:pPr>
        <w:pStyle w:val="ListeParagraf"/>
        <w:numPr>
          <w:ilvl w:val="0"/>
          <w:numId w:val="2"/>
        </w:numPr>
        <w:tabs>
          <w:tab w:val="num" w:pos="6031"/>
        </w:tabs>
        <w:spacing w:after="60"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C65D0">
        <w:rPr>
          <w:rFonts w:asciiTheme="minorHAnsi" w:eastAsia="Calibri" w:hAnsiTheme="minorHAnsi" w:cstheme="minorHAnsi"/>
          <w:sz w:val="20"/>
          <w:szCs w:val="20"/>
          <w:lang w:eastAsia="en-US"/>
        </w:rPr>
        <w:t>İletiş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im için acutab@acibadem.edu.tr </w:t>
      </w:r>
      <w:r w:rsidRPr="009C65D0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DFFE811" w14:textId="076BD19C" w:rsidR="009C65D0" w:rsidRDefault="009C65D0" w:rsidP="009C65D0">
      <w:pPr>
        <w:tabs>
          <w:tab w:val="num" w:pos="6031"/>
        </w:tabs>
        <w:spacing w:after="60" w:line="276" w:lineRule="auto"/>
        <w:jc w:val="both"/>
        <w:rPr>
          <w:rFonts w:eastAsia="Calibri" w:cstheme="minorHAnsi"/>
          <w:sz w:val="20"/>
          <w:szCs w:val="20"/>
        </w:rPr>
      </w:pPr>
    </w:p>
    <w:p w14:paraId="0473EE3F" w14:textId="2F92B90A" w:rsidR="009C65D0" w:rsidRDefault="009C65D0" w:rsidP="009C65D0">
      <w:pPr>
        <w:tabs>
          <w:tab w:val="num" w:pos="6031"/>
        </w:tabs>
        <w:spacing w:after="60" w:line="276" w:lineRule="auto"/>
        <w:jc w:val="both"/>
        <w:rPr>
          <w:rFonts w:eastAsia="Calibri" w:cstheme="minorHAnsi"/>
          <w:sz w:val="20"/>
          <w:szCs w:val="20"/>
        </w:rPr>
      </w:pPr>
    </w:p>
    <w:p w14:paraId="083D39AC" w14:textId="77777777" w:rsidR="009C65D0" w:rsidRDefault="009C65D0" w:rsidP="009C65D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2FDA34F5" w14:textId="77777777" w:rsidR="009C65D0" w:rsidRDefault="009C65D0" w:rsidP="009C65D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612E5AB1" w14:textId="77777777" w:rsidR="009C65D0" w:rsidRDefault="009C65D0" w:rsidP="009C65D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4A5A2146" w14:textId="77777777" w:rsidR="009C65D0" w:rsidRDefault="009C65D0" w:rsidP="009C65D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5304D1B9" w14:textId="4C961C8F" w:rsidR="009C65D0" w:rsidRPr="009C65D0" w:rsidRDefault="009C65D0" w:rsidP="009C65D0">
      <w:pPr>
        <w:pStyle w:val="OnemliNot"/>
        <w:spacing w:before="0" w:after="60" w:line="276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sectPr w:rsidR="009C65D0" w:rsidRPr="009C65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16C6" w14:textId="77777777" w:rsidR="00AD72A9" w:rsidRDefault="00AD72A9" w:rsidP="00441D02">
      <w:pPr>
        <w:spacing w:after="0" w:line="240" w:lineRule="auto"/>
      </w:pPr>
      <w:r>
        <w:separator/>
      </w:r>
    </w:p>
  </w:endnote>
  <w:endnote w:type="continuationSeparator" w:id="0">
    <w:p w14:paraId="2FE754E4" w14:textId="77777777" w:rsidR="00AD72A9" w:rsidRDefault="00AD72A9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0FD8EAD7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073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468F" w14:textId="77777777" w:rsidR="00AD72A9" w:rsidRDefault="00AD72A9" w:rsidP="00441D02">
      <w:pPr>
        <w:spacing w:after="0" w:line="240" w:lineRule="auto"/>
      </w:pPr>
      <w:r>
        <w:separator/>
      </w:r>
    </w:p>
  </w:footnote>
  <w:footnote w:type="continuationSeparator" w:id="0">
    <w:p w14:paraId="43792AD3" w14:textId="77777777" w:rsidR="00AD72A9" w:rsidRDefault="00AD72A9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29D9F59" w:rsidR="00441D02" w:rsidRDefault="009C65D0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3F6F51F" wp14:editId="24266D4C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77006"/>
    <w:rsid w:val="00430C8D"/>
    <w:rsid w:val="00441D02"/>
    <w:rsid w:val="004459C6"/>
    <w:rsid w:val="004673A0"/>
    <w:rsid w:val="004865D7"/>
    <w:rsid w:val="00497518"/>
    <w:rsid w:val="004D0D9A"/>
    <w:rsid w:val="005151B1"/>
    <w:rsid w:val="00540B5F"/>
    <w:rsid w:val="00552EDF"/>
    <w:rsid w:val="005A0D86"/>
    <w:rsid w:val="005C0E5E"/>
    <w:rsid w:val="005C5073"/>
    <w:rsid w:val="005D3DFE"/>
    <w:rsid w:val="005E4867"/>
    <w:rsid w:val="00625C24"/>
    <w:rsid w:val="0064115B"/>
    <w:rsid w:val="00645D05"/>
    <w:rsid w:val="006536A7"/>
    <w:rsid w:val="006810A0"/>
    <w:rsid w:val="00682B3E"/>
    <w:rsid w:val="006945DE"/>
    <w:rsid w:val="006962E1"/>
    <w:rsid w:val="006C5820"/>
    <w:rsid w:val="006D76F7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90988"/>
    <w:rsid w:val="008A1F9B"/>
    <w:rsid w:val="008F7A89"/>
    <w:rsid w:val="00943A96"/>
    <w:rsid w:val="009952D3"/>
    <w:rsid w:val="00995DA5"/>
    <w:rsid w:val="009C65D0"/>
    <w:rsid w:val="00A007E9"/>
    <w:rsid w:val="00A202EF"/>
    <w:rsid w:val="00A31D53"/>
    <w:rsid w:val="00A640FD"/>
    <w:rsid w:val="00AA11C7"/>
    <w:rsid w:val="00AB449B"/>
    <w:rsid w:val="00AC2222"/>
    <w:rsid w:val="00AD5E3D"/>
    <w:rsid w:val="00AD72A9"/>
    <w:rsid w:val="00AE20A5"/>
    <w:rsid w:val="00AE5815"/>
    <w:rsid w:val="00AE76B0"/>
    <w:rsid w:val="00AF25EB"/>
    <w:rsid w:val="00B023EF"/>
    <w:rsid w:val="00B163F6"/>
    <w:rsid w:val="00B17C30"/>
    <w:rsid w:val="00B36686"/>
    <w:rsid w:val="00B41C72"/>
    <w:rsid w:val="00B83B9A"/>
    <w:rsid w:val="00BA2143"/>
    <w:rsid w:val="00BA41EB"/>
    <w:rsid w:val="00BB56EC"/>
    <w:rsid w:val="00BC4A84"/>
    <w:rsid w:val="00BE5467"/>
    <w:rsid w:val="00BF2CFD"/>
    <w:rsid w:val="00C356F2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12ADE"/>
    <w:rsid w:val="00E82F5C"/>
    <w:rsid w:val="00E97670"/>
    <w:rsid w:val="00EA1C47"/>
    <w:rsid w:val="00EC0B25"/>
    <w:rsid w:val="00EF11B9"/>
    <w:rsid w:val="00F20C8B"/>
    <w:rsid w:val="00F825E1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6FEF-E327-423B-AE1F-437049A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2023-08-28T09:47:00Z</dcterms:created>
  <dcterms:modified xsi:type="dcterms:W3CDTF">2023-09-25T12:47:00Z</dcterms:modified>
</cp:coreProperties>
</file>